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0A91B" w14:textId="2A62D798" w:rsidR="00BF104A" w:rsidRPr="00BF104A" w:rsidRDefault="0092258B" w:rsidP="00BF104A">
      <w:pPr>
        <w:jc w:val="center"/>
        <w:rPr>
          <w:b/>
          <w:bCs/>
          <w:sz w:val="28"/>
          <w:szCs w:val="28"/>
        </w:rPr>
      </w:pPr>
      <w:r w:rsidRPr="00677D0F">
        <w:rPr>
          <w:sz w:val="21"/>
          <w:szCs w:val="21"/>
        </w:rPr>
        <w:t>COMUNICATO STAMPA</w:t>
      </w:r>
      <w:r w:rsidR="00F636F9">
        <w:rPr>
          <w:sz w:val="21"/>
          <w:szCs w:val="21"/>
        </w:rPr>
        <w:br/>
      </w:r>
      <w:r w:rsidRPr="00BF104A">
        <w:rPr>
          <w:b/>
          <w:bCs/>
          <w:sz w:val="26"/>
          <w:szCs w:val="26"/>
        </w:rPr>
        <w:t>S</w:t>
      </w:r>
      <w:r w:rsidR="00BF104A" w:rsidRPr="00BF104A">
        <w:rPr>
          <w:b/>
          <w:bCs/>
          <w:sz w:val="26"/>
          <w:szCs w:val="26"/>
        </w:rPr>
        <w:t xml:space="preserve">ERVIZIO CIVILE, </w:t>
      </w:r>
      <w:r w:rsidR="00512A87">
        <w:rPr>
          <w:b/>
          <w:bCs/>
          <w:sz w:val="26"/>
          <w:szCs w:val="26"/>
        </w:rPr>
        <w:t xml:space="preserve">BANDO 2026 DA </w:t>
      </w:r>
      <w:r w:rsidR="00BF104A" w:rsidRPr="00BF104A">
        <w:rPr>
          <w:b/>
          <w:bCs/>
          <w:sz w:val="26"/>
          <w:szCs w:val="26"/>
        </w:rPr>
        <w:t>RECORD</w:t>
      </w:r>
      <w:r w:rsidR="00512A87">
        <w:rPr>
          <w:b/>
          <w:bCs/>
          <w:sz w:val="26"/>
          <w:szCs w:val="26"/>
        </w:rPr>
        <w:t>:</w:t>
      </w:r>
      <w:r w:rsidR="00BF104A" w:rsidRPr="00BF104A">
        <w:rPr>
          <w:b/>
          <w:bCs/>
          <w:sz w:val="26"/>
          <w:szCs w:val="26"/>
        </w:rPr>
        <w:t xml:space="preserve"> 9.850 DOMANDE E COPERTURA AL 97%</w:t>
      </w:r>
    </w:p>
    <w:p w14:paraId="3E020F35" w14:textId="1E6E3A04" w:rsidR="0092258B" w:rsidRPr="007D3157" w:rsidRDefault="0090323F" w:rsidP="0092258B">
      <w:pPr>
        <w:jc w:val="both"/>
      </w:pPr>
      <w:r>
        <w:rPr>
          <w:i/>
          <w:iCs/>
        </w:rPr>
        <w:t xml:space="preserve">Roma, </w:t>
      </w:r>
      <w:r w:rsidRPr="0090323F">
        <w:rPr>
          <w:i/>
          <w:iCs/>
        </w:rPr>
        <w:t>22 aprile 2026</w:t>
      </w:r>
      <w:r>
        <w:rPr>
          <w:i/>
          <w:iCs/>
        </w:rPr>
        <w:t xml:space="preserve"> -</w:t>
      </w:r>
      <w:r>
        <w:t xml:space="preserve"> </w:t>
      </w:r>
      <w:r w:rsidR="0092258B" w:rsidRPr="007D3157">
        <w:t>Il Bando Ordinario 2026 per la selezione degli operatori volontari del Servizio Civile Universale conferma e rafforza il trend di crescita della partecipazione giovanile, restituendo un quadro complessivamente solido e in evoluzione.</w:t>
      </w:r>
    </w:p>
    <w:p w14:paraId="164C0DDC" w14:textId="77777777" w:rsidR="00512A87" w:rsidRDefault="0092258B" w:rsidP="0092258B">
      <w:pPr>
        <w:jc w:val="both"/>
      </w:pPr>
      <w:r w:rsidRPr="007D3157">
        <w:t>L’analisi dei dati relativi ai programmi e ai progetti promossi dalla Fondazione AMESCI – uno dei principali enti nazionali per numero di posizioni a bando – evidenzia risultati particolarmente significativi:</w:t>
      </w:r>
      <w:r>
        <w:t xml:space="preserve"> </w:t>
      </w:r>
      <w:r w:rsidRPr="007D3157">
        <w:rPr>
          <w:b/>
          <w:bCs/>
        </w:rPr>
        <w:t>9.850 domande presentate a fronte di 3.344 posti disponibili</w:t>
      </w:r>
      <w:r w:rsidRPr="007D3157">
        <w:t>, con un</w:t>
      </w:r>
      <w:r>
        <w:t xml:space="preserve"> </w:t>
      </w:r>
      <w:r w:rsidRPr="007D3157">
        <w:rPr>
          <w:b/>
          <w:bCs/>
        </w:rPr>
        <w:t>rapporto pari a 2,95 candidature per posto</w:t>
      </w:r>
      <w:r>
        <w:t xml:space="preserve"> </w:t>
      </w:r>
      <w:r w:rsidRPr="007D3157">
        <w:t>e una</w:t>
      </w:r>
      <w:r>
        <w:t xml:space="preserve"> </w:t>
      </w:r>
      <w:r w:rsidRPr="007D3157">
        <w:rPr>
          <w:b/>
          <w:bCs/>
        </w:rPr>
        <w:t>copertura complessiva del 97,09%</w:t>
      </w:r>
      <w:r w:rsidRPr="007D3157">
        <w:t>.</w:t>
      </w:r>
      <w:r w:rsidR="00212DD2">
        <w:t xml:space="preserve"> </w:t>
      </w:r>
    </w:p>
    <w:p w14:paraId="242C04CD" w14:textId="0DDDEFFA" w:rsidR="0092258B" w:rsidRPr="007D3157" w:rsidRDefault="0092258B" w:rsidP="0092258B">
      <w:pPr>
        <w:jc w:val="both"/>
      </w:pPr>
      <w:r w:rsidRPr="007D3157">
        <w:t>Si tratta del valore più alto registrato nella serie storica recente, che segna una crescita del</w:t>
      </w:r>
      <w:r>
        <w:t xml:space="preserve"> </w:t>
      </w:r>
      <w:r w:rsidRPr="007D3157">
        <w:rPr>
          <w:b/>
          <w:bCs/>
        </w:rPr>
        <w:t>+43,2% delle candidature rispetto al 2022</w:t>
      </w:r>
      <w:r>
        <w:t xml:space="preserve"> </w:t>
      </w:r>
      <w:r w:rsidRPr="007D3157">
        <w:t>(quando le domande erano 6.879) e un incremento de</w:t>
      </w:r>
      <w:r>
        <w:t xml:space="preserve">l </w:t>
      </w:r>
      <w:r w:rsidRPr="007D3157">
        <w:rPr>
          <w:b/>
          <w:bCs/>
        </w:rPr>
        <w:t>+11,6% rispetto al 2024</w:t>
      </w:r>
      <w:r w:rsidRPr="007D3157">
        <w:t>.</w:t>
      </w:r>
      <w:r>
        <w:t xml:space="preserve"> </w:t>
      </w:r>
      <w:r w:rsidRPr="007D3157">
        <w:t>Parallelamente, si registra un miglioramento progressivo della distribuzione delle candidature: le</w:t>
      </w:r>
      <w:r>
        <w:t xml:space="preserve"> </w:t>
      </w:r>
      <w:r w:rsidRPr="007D3157">
        <w:rPr>
          <w:b/>
          <w:bCs/>
        </w:rPr>
        <w:t>sedi senza alcuna domanda scendono a 20</w:t>
      </w:r>
      <w:r w:rsidRPr="007D3157">
        <w:t>, pari al</w:t>
      </w:r>
      <w:r>
        <w:t xml:space="preserve"> </w:t>
      </w:r>
      <w:r w:rsidRPr="007D3157">
        <w:rPr>
          <w:b/>
          <w:bCs/>
        </w:rPr>
        <w:t>2,5% del totale</w:t>
      </w:r>
      <w:r w:rsidRPr="007D3157">
        <w:t>, il dato più basso degli ultimi anni (erano 80 nel 2022, pari al 10%).</w:t>
      </w:r>
    </w:p>
    <w:p w14:paraId="5487A9AB" w14:textId="2014FE70" w:rsidR="0092258B" w:rsidRPr="00F636F9" w:rsidRDefault="0092258B" w:rsidP="00F636F9">
      <w:pPr>
        <w:rPr>
          <w:b/>
          <w:bCs/>
        </w:rPr>
      </w:pPr>
      <w:r w:rsidRPr="007D3157">
        <w:rPr>
          <w:b/>
          <w:bCs/>
        </w:rPr>
        <w:t>Finestra temporale e proroga: due leve che incidono sul comportamento dei giovani</w:t>
      </w:r>
      <w:r w:rsidR="00F636F9">
        <w:rPr>
          <w:b/>
          <w:bCs/>
        </w:rPr>
        <w:t xml:space="preserve">  </w:t>
      </w:r>
      <w:r w:rsidR="00F636F9">
        <w:rPr>
          <w:b/>
          <w:bCs/>
        </w:rPr>
        <w:br/>
      </w:r>
      <w:r w:rsidRPr="007D3157">
        <w:t>Tra gli elementi più rilevanti del bando 2026 emerge l’impatto del cambiamento della finestra temporale e della proroga dei termini.</w:t>
      </w:r>
      <w:r>
        <w:t xml:space="preserve"> </w:t>
      </w:r>
      <w:r w:rsidRPr="007D3157">
        <w:t>La pubblicazione del bando a febbraio, in sostituzione del tradizionale periodo natalizio, si è dimostrata più coerente con i tempi di vita dei giovani e con la capacità di attivazione degli enti.</w:t>
      </w:r>
      <w:r>
        <w:t xml:space="preserve"> </w:t>
      </w:r>
      <w:r w:rsidR="00F636F9">
        <w:rPr>
          <w:b/>
          <w:bCs/>
        </w:rPr>
        <w:t xml:space="preserve"> </w:t>
      </w:r>
      <w:r w:rsidRPr="007D3157">
        <w:t>A questo si aggiunge l’effetto della proroga, che ha prodotto un incremento significativo delle candidature:</w:t>
      </w:r>
      <w:r>
        <w:t xml:space="preserve"> </w:t>
      </w:r>
      <w:r w:rsidRPr="007D3157">
        <w:rPr>
          <w:b/>
          <w:bCs/>
        </w:rPr>
        <w:t>+1.745 domande</w:t>
      </w:r>
      <w:r w:rsidRPr="007D3157">
        <w:t>, pari a</w:t>
      </w:r>
      <w:r>
        <w:t xml:space="preserve"> </w:t>
      </w:r>
      <w:r w:rsidRPr="007D3157">
        <w:rPr>
          <w:b/>
          <w:bCs/>
        </w:rPr>
        <w:t>+21,53%</w:t>
      </w:r>
      <w:r>
        <w:t xml:space="preserve"> </w:t>
      </w:r>
      <w:r w:rsidRPr="007D3157">
        <w:t>rispetto alla scadenza originaria (da 8.105 a 9.850).</w:t>
      </w:r>
      <w:r>
        <w:t xml:space="preserve"> </w:t>
      </w:r>
      <w:r w:rsidRPr="007D3157">
        <w:t>L’impatto non è stato solo quantitativo. Le</w:t>
      </w:r>
      <w:r>
        <w:t xml:space="preserve"> </w:t>
      </w:r>
      <w:r w:rsidRPr="007D3157">
        <w:rPr>
          <w:b/>
          <w:bCs/>
        </w:rPr>
        <w:t>sedi con domande inferiori ai posti disponibili si riducono del 57,97%</w:t>
      </w:r>
      <w:r>
        <w:t xml:space="preserve"> </w:t>
      </w:r>
      <w:r w:rsidRPr="007D3157">
        <w:t>(da 69 a 29) e le</w:t>
      </w:r>
      <w:r>
        <w:t xml:space="preserve"> </w:t>
      </w:r>
      <w:r w:rsidRPr="007D3157">
        <w:rPr>
          <w:b/>
          <w:bCs/>
        </w:rPr>
        <w:t>sedi a zero candidature diminuiscono del 54,54%</w:t>
      </w:r>
      <w:r>
        <w:t xml:space="preserve"> </w:t>
      </w:r>
      <w:r w:rsidRPr="007D3157">
        <w:t>(da 44 a 20).</w:t>
      </w:r>
      <w:r>
        <w:t xml:space="preserve"> </w:t>
      </w:r>
      <w:r w:rsidRPr="007D3157">
        <w:t>Un dato particolarmente interessante riguarda la distribuzione territoriale dell’incremento</w:t>
      </w:r>
      <w:r>
        <w:t xml:space="preserve"> di domande ottenuto grazie alla proroga dei termini di scadenza</w:t>
      </w:r>
      <w:r w:rsidRPr="007D3157">
        <w:t xml:space="preserve">: la crescita delle candidature è </w:t>
      </w:r>
      <w:r>
        <w:t xml:space="preserve">stata </w:t>
      </w:r>
      <w:r w:rsidRPr="007D3157">
        <w:t>più marcata proprio nelle aree tradizionalmente più deboli, con un</w:t>
      </w:r>
      <w:r>
        <w:t xml:space="preserve"> </w:t>
      </w:r>
      <w:r w:rsidRPr="007D3157">
        <w:rPr>
          <w:b/>
          <w:bCs/>
        </w:rPr>
        <w:t>+28,39% nel Nord</w:t>
      </w:r>
      <w:r w:rsidRPr="007D3157">
        <w:t>, a fronte del</w:t>
      </w:r>
      <w:r>
        <w:t xml:space="preserve"> </w:t>
      </w:r>
      <w:r w:rsidRPr="007D3157">
        <w:rPr>
          <w:b/>
          <w:bCs/>
        </w:rPr>
        <w:t>+19,77% nel Sud</w:t>
      </w:r>
      <w:r w:rsidRPr="007D3157">
        <w:t>.</w:t>
      </w:r>
    </w:p>
    <w:p w14:paraId="7EA3B5ED" w14:textId="4F5570E5" w:rsidR="0092258B" w:rsidRPr="00212DD2" w:rsidRDefault="0092258B" w:rsidP="00212DD2">
      <w:pPr>
        <w:rPr>
          <w:b/>
          <w:bCs/>
        </w:rPr>
      </w:pPr>
      <w:r w:rsidRPr="007D3157">
        <w:rPr>
          <w:b/>
          <w:bCs/>
        </w:rPr>
        <w:t>Un sistema che cresce, ma con differenze territoriali persistenti</w:t>
      </w:r>
      <w:r>
        <w:rPr>
          <w:b/>
          <w:bCs/>
        </w:rPr>
        <w:t xml:space="preserve"> </w:t>
      </w:r>
      <w:r w:rsidR="00F636F9">
        <w:rPr>
          <w:b/>
          <w:bCs/>
        </w:rPr>
        <w:br/>
      </w:r>
      <w:r w:rsidRPr="007D3157">
        <w:t>Accanto ai risultati positivi, i dati confermano alcune dinamiche strutturali.</w:t>
      </w:r>
      <w:r>
        <w:rPr>
          <w:b/>
          <w:bCs/>
        </w:rPr>
        <w:br/>
      </w:r>
      <w:r w:rsidRPr="007D3157">
        <w:t>La copertura dei posti resta elevata nel Mezzogiorno – con valori prossimi al 100% in molte regioni – mentre si registrano livelli inferiori nel Nord:</w:t>
      </w:r>
      <w:r>
        <w:t xml:space="preserve"> </w:t>
      </w:r>
      <w:r w:rsidRPr="007D3157">
        <w:rPr>
          <w:b/>
          <w:bCs/>
        </w:rPr>
        <w:t>Lombardia 75,61%, Liguria 76,92%, Umbria 82%</w:t>
      </w:r>
      <w:r w:rsidRPr="007D3157">
        <w:t>.</w:t>
      </w:r>
      <w:r>
        <w:t xml:space="preserve"> </w:t>
      </w:r>
      <w:r w:rsidRPr="007D3157">
        <w:t>Si tratta di un divario che non può essere letto in modo semplificato, ma che riflette fattori differenziati: condizioni del mercato del lavoro, livelli di radicamento dell’istituto, distribuzione delle sedi e capacità di attivazione territoriale.</w:t>
      </w:r>
      <w:r w:rsidR="00F636F9">
        <w:rPr>
          <w:b/>
          <w:bCs/>
        </w:rPr>
        <w:t xml:space="preserve"> </w:t>
      </w:r>
      <w:r w:rsidRPr="007D3157">
        <w:t>È inoltre importante sottolineare che i dati analizzati si riferiscono all’esperienza di AMESCI, che opera prevalentemente nel Mezzogiorno, e rappresentano quindi un osservatorio qualificato ma parziale rispetto al sistema nazionale nel suo complesso.</w:t>
      </w:r>
    </w:p>
    <w:p w14:paraId="2801C0A8" w14:textId="098A7EF5" w:rsidR="0092258B" w:rsidRPr="00F636F9" w:rsidRDefault="0092258B" w:rsidP="00F636F9">
      <w:pPr>
        <w:rPr>
          <w:b/>
          <w:bCs/>
        </w:rPr>
      </w:pPr>
      <w:r w:rsidRPr="007D3157">
        <w:rPr>
          <w:b/>
          <w:bCs/>
        </w:rPr>
        <w:t>Partecipazione e distribuzione: non basta attrarre, serve orientare</w:t>
      </w:r>
      <w:r w:rsidR="00F636F9">
        <w:rPr>
          <w:b/>
          <w:bCs/>
        </w:rPr>
        <w:br/>
      </w:r>
      <w:r w:rsidRPr="007D3157">
        <w:t>Un ulteriore elemento di riflessione riguarda il rapporto tra crescita delle candidature e copertura dei posti.</w:t>
      </w:r>
      <w:r w:rsidR="00F636F9">
        <w:rPr>
          <w:b/>
          <w:bCs/>
        </w:rPr>
        <w:t xml:space="preserve"> </w:t>
      </w:r>
      <w:r w:rsidRPr="007D3157">
        <w:t>A fronte di un incremento del</w:t>
      </w:r>
      <w:r>
        <w:t xml:space="preserve"> </w:t>
      </w:r>
      <w:r w:rsidRPr="007D3157">
        <w:rPr>
          <w:b/>
          <w:bCs/>
        </w:rPr>
        <w:t>+21,53% delle domande</w:t>
      </w:r>
      <w:r w:rsidRPr="007D3157">
        <w:t>, la copertura dei posti cresce in misura più contenuta (</w:t>
      </w:r>
      <w:r w:rsidRPr="007D3157">
        <w:rPr>
          <w:b/>
          <w:bCs/>
        </w:rPr>
        <w:t>+3,83%</w:t>
      </w:r>
      <w:r w:rsidRPr="007D3157">
        <w:t>, da 3.127 a 3.247 posti coperti).</w:t>
      </w:r>
      <w:r w:rsidR="00F636F9">
        <w:rPr>
          <w:b/>
          <w:bCs/>
        </w:rPr>
        <w:t xml:space="preserve"> </w:t>
      </w:r>
      <w:r w:rsidRPr="007D3157">
        <w:t>Questo scostamento indica che la leva della partecipazione, da sola, non è sufficiente: il sistema richiede un rafforzamento della capacità di orientare le scelte dei giovani, accompagnandoli verso una distribuzione più equilibrata delle candidature.</w:t>
      </w:r>
    </w:p>
    <w:p w14:paraId="5662AAF7" w14:textId="5BF6A496" w:rsidR="0092258B" w:rsidRPr="00F636F9" w:rsidRDefault="0092258B" w:rsidP="00F636F9">
      <w:pPr>
        <w:rPr>
          <w:b/>
          <w:bCs/>
        </w:rPr>
      </w:pPr>
      <w:r w:rsidRPr="007D3157">
        <w:rPr>
          <w:b/>
          <w:bCs/>
        </w:rPr>
        <w:lastRenderedPageBreak/>
        <w:t>Il ruolo della comunicazione: da leva emergenziale a politica strutturale</w:t>
      </w:r>
      <w:r w:rsidR="00F636F9">
        <w:rPr>
          <w:b/>
          <w:bCs/>
        </w:rPr>
        <w:br/>
      </w:r>
      <w:r w:rsidRPr="007D3157">
        <w:t>I risultati del bando 2026 evidenziano, in modo sempre più chiaro, il ruolo della comunicazione nel funzionamento del Servizio Civile Universale.</w:t>
      </w:r>
      <w:r w:rsidR="00F636F9">
        <w:t xml:space="preserve"> </w:t>
      </w:r>
      <w:r w:rsidRPr="007D3157">
        <w:t>Le iniziative istituzionali promosse nel corso dell’anno hanno rappresentato un contributo rilevante alla diffusione del bando e alla crescita della partecipazione, affiancandosi al lavoro continuo degli enti sui territori.</w:t>
      </w:r>
      <w:r w:rsidR="00F636F9">
        <w:t xml:space="preserve"> </w:t>
      </w:r>
      <w:r w:rsidRPr="007D3157">
        <w:t>Proprio l’analisi dei dati suggerisce una considerazione di fondo:</w:t>
      </w:r>
      <w:r>
        <w:t xml:space="preserve"> </w:t>
      </w:r>
      <w:r w:rsidRPr="007D3157">
        <w:t>quando la comunicazione f</w:t>
      </w:r>
      <w:r>
        <w:t>u</w:t>
      </w:r>
      <w:r w:rsidRPr="007D3157">
        <w:t>nziona – nei tempi, nei linguaggi, nei canali – la partecipazione cresce e si distribuisce meglio.</w:t>
      </w:r>
      <w:r w:rsidR="00F636F9">
        <w:t xml:space="preserve"> </w:t>
      </w:r>
      <w:r w:rsidRPr="007D3157">
        <w:t>Per questo, appare oggi necessario consolidare e rafforzare questa dimensione, attraverso una</w:t>
      </w:r>
      <w:r>
        <w:t xml:space="preserve"> </w:t>
      </w:r>
      <w:r w:rsidRPr="00677D0F">
        <w:rPr>
          <w:b/>
          <w:bCs/>
        </w:rPr>
        <w:t>comunicazione pubblica più strutturata, continuativa e riconoscibile,</w:t>
      </w:r>
      <w:r w:rsidRPr="007D3157">
        <w:t xml:space="preserve"> capace di accompagnare i giovani non solo nel momento della candidatura, ma lungo tutto il processo di scelta.</w:t>
      </w:r>
    </w:p>
    <w:p w14:paraId="6A297599" w14:textId="77777777" w:rsidR="00212DD2" w:rsidRDefault="0092258B" w:rsidP="00BF104A">
      <w:r w:rsidRPr="007D3157">
        <w:rPr>
          <w:b/>
          <w:bCs/>
        </w:rPr>
        <w:t>Una politica pubblica che cresce se sostenuta nel tempo</w:t>
      </w:r>
      <w:r w:rsidR="00F636F9">
        <w:rPr>
          <w:b/>
          <w:bCs/>
        </w:rPr>
        <w:br/>
      </w:r>
      <w:r w:rsidRPr="007D3157">
        <w:t>Il Servizio Civile Universale continua a dimostrare una forte capacità attrattiva e un ruolo centrale nelle politiche giovanili del Paese.</w:t>
      </w:r>
      <w:r w:rsidR="00F636F9">
        <w:t xml:space="preserve"> </w:t>
      </w:r>
      <w:r w:rsidRPr="007D3157">
        <w:t>I dati del bando 2026 indicano che il sistema è in crescita, più efficiente nella distribuzione delle candidature e più capace di intercettare nuovi bacini di partecipazione.</w:t>
      </w:r>
      <w:r w:rsidR="00F636F9">
        <w:t xml:space="preserve"> </w:t>
      </w:r>
      <w:r w:rsidRPr="007D3157">
        <w:t>Allo stesso tempo, evidenziano con chiarezza che questi risultati non sono automatici: sono il prodotto di scelte organizzative, di investimenti nel tempo e di una responsabilità condivisa tra istituzioni ed enti.</w:t>
      </w:r>
      <w:r w:rsidR="00F636F9">
        <w:t xml:space="preserve"> </w:t>
      </w:r>
      <w:r w:rsidRPr="007D3157">
        <w:t>Rafforzare la comunicazione pubblica, migliorare le condizioni di accesso e accompagnare le scelte dei giovani rappresentano oggi le direttrici principali per consolidare questo percorso e per rendere il Servizio Civile Universale sempre più accessibile, equo e generativo.</w:t>
      </w:r>
      <w:r w:rsidR="00F636F9">
        <w:rPr>
          <w:b/>
          <w:bCs/>
        </w:rPr>
        <w:br/>
      </w:r>
    </w:p>
    <w:p w14:paraId="4C564295" w14:textId="686521F4" w:rsidR="00BF104A" w:rsidRPr="001562C5" w:rsidRDefault="00212DD2" w:rsidP="00BF104A">
      <w:hyperlink r:id="rId7" w:history="1">
        <w:r w:rsidRPr="00955AD8">
          <w:rPr>
            <w:rStyle w:val="Collegamentoipertestuale"/>
          </w:rPr>
          <w:t>SCARICA IL DOCUMENTO DI ANALISI DEI DATI</w:t>
        </w:r>
      </w:hyperlink>
      <w:r>
        <w:t xml:space="preserve"> </w:t>
      </w:r>
      <w:r w:rsidR="001562C5">
        <w:br/>
      </w:r>
      <w:r w:rsidR="00F636F9" w:rsidRPr="00F636F9">
        <w:br/>
      </w:r>
      <w:r w:rsidR="00BF104A" w:rsidRPr="00EC39A9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t>Ufficio stampa</w:t>
      </w:r>
      <w:r w:rsidR="00BF104A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it-IT"/>
        </w:rPr>
        <w:br/>
      </w:r>
      <w:r w:rsidR="00BF104A" w:rsidRPr="00A65E29">
        <w:rPr>
          <w:rFonts w:eastAsia="Calibri" w:cstheme="minorHAnsi"/>
          <w:i/>
          <w:iCs/>
          <w:sz w:val="20"/>
          <w:szCs w:val="20"/>
        </w:rPr>
        <w:t>Katia Tulipano</w:t>
      </w:r>
      <w:r w:rsidR="00BF104A" w:rsidRPr="00EC39A9">
        <w:rPr>
          <w:rFonts w:eastAsia="Calibri" w:cstheme="minorHAnsi"/>
          <w:sz w:val="20"/>
          <w:szCs w:val="20"/>
        </w:rPr>
        <w:t xml:space="preserve"> – </w:t>
      </w:r>
      <w:hyperlink r:id="rId8" w:history="1">
        <w:r w:rsidR="00BF104A" w:rsidRPr="00EC39A9">
          <w:rPr>
            <w:rStyle w:val="Collegamentoipertestuale"/>
            <w:rFonts w:eastAsia="Calibri" w:cstheme="minorHAnsi"/>
            <w:sz w:val="20"/>
            <w:szCs w:val="20"/>
          </w:rPr>
          <w:t>ufficiostampa@amesci.org</w:t>
        </w:r>
      </w:hyperlink>
      <w:r w:rsidR="00BF104A" w:rsidRPr="00EC39A9">
        <w:rPr>
          <w:rFonts w:eastAsia="Calibri" w:cstheme="minorHAnsi"/>
          <w:sz w:val="20"/>
          <w:szCs w:val="20"/>
        </w:rPr>
        <w:t xml:space="preserve"> | + 39 392 86 15 281| ufficiostampa@amesci.org</w:t>
      </w:r>
    </w:p>
    <w:p w14:paraId="42FA8344" w14:textId="24451D1B" w:rsidR="00582226" w:rsidRPr="00F636F9" w:rsidRDefault="00582226" w:rsidP="00F636F9">
      <w:pPr>
        <w:rPr>
          <w:b/>
          <w:bCs/>
        </w:rPr>
      </w:pPr>
    </w:p>
    <w:sectPr w:rsidR="00582226" w:rsidRPr="00F636F9" w:rsidSect="00390EC3">
      <w:headerReference w:type="default" r:id="rId9"/>
      <w:footerReference w:type="default" r:id="rId10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85C6" w14:textId="77777777" w:rsidR="00E7239B" w:rsidRDefault="00E7239B" w:rsidP="00A162A5">
      <w:pPr>
        <w:spacing w:after="0" w:line="240" w:lineRule="auto"/>
      </w:pPr>
      <w:r>
        <w:separator/>
      </w:r>
    </w:p>
  </w:endnote>
  <w:endnote w:type="continuationSeparator" w:id="0">
    <w:p w14:paraId="2A5908A8" w14:textId="77777777" w:rsidR="00E7239B" w:rsidRDefault="00E7239B" w:rsidP="00A1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52" w:type="dxa"/>
      <w:tblLayout w:type="fixed"/>
      <w:tblLook w:val="01E0" w:firstRow="1" w:lastRow="1" w:firstColumn="1" w:lastColumn="1" w:noHBand="0" w:noVBand="0"/>
    </w:tblPr>
    <w:tblGrid>
      <w:gridCol w:w="2611"/>
      <w:gridCol w:w="2429"/>
    </w:tblGrid>
    <w:tr w:rsidR="00F00652" w:rsidRPr="00582226" w14:paraId="0B140F3D" w14:textId="77777777" w:rsidTr="002830AC">
      <w:tc>
        <w:tcPr>
          <w:tcW w:w="2611" w:type="dxa"/>
          <w:tcBorders>
            <w:left w:val="single" w:sz="4" w:space="0" w:color="auto"/>
            <w:right w:val="single" w:sz="4" w:space="0" w:color="auto"/>
          </w:tcBorders>
        </w:tcPr>
        <w:p w14:paraId="2A75CC32" w14:textId="77777777" w:rsidR="00F00652" w:rsidRPr="0073554F" w:rsidRDefault="00F00652" w:rsidP="002830AC">
          <w:pPr>
            <w:pStyle w:val="Pidipagina"/>
            <w:tabs>
              <w:tab w:val="clear" w:pos="9638"/>
              <w:tab w:val="right" w:pos="10065"/>
            </w:tabs>
            <w:rPr>
              <w:rFonts w:ascii="Tahoma" w:hAnsi="Tahoma" w:cs="Tahoma"/>
              <w:color w:val="999999"/>
              <w:sz w:val="16"/>
              <w:szCs w:val="16"/>
            </w:rPr>
          </w:pPr>
          <w:r w:rsidRPr="0073554F">
            <w:rPr>
              <w:rFonts w:ascii="Tahoma" w:hAnsi="Tahoma" w:cs="Tahoma"/>
              <w:color w:val="999999"/>
              <w:sz w:val="16"/>
              <w:szCs w:val="16"/>
            </w:rPr>
            <w:t>Centro Direzionale</w:t>
          </w:r>
        </w:p>
        <w:p w14:paraId="04275F2D" w14:textId="0C97D7F5" w:rsidR="00F00652" w:rsidRPr="0073554F" w:rsidRDefault="00F00652" w:rsidP="002830AC">
          <w:pPr>
            <w:pStyle w:val="Pidipagina"/>
            <w:tabs>
              <w:tab w:val="clear" w:pos="9638"/>
              <w:tab w:val="right" w:pos="10065"/>
            </w:tabs>
            <w:rPr>
              <w:rFonts w:ascii="Tahoma" w:hAnsi="Tahoma" w:cs="Tahoma"/>
              <w:color w:val="999999"/>
              <w:sz w:val="16"/>
              <w:szCs w:val="16"/>
            </w:rPr>
          </w:pPr>
          <w:r w:rsidRPr="0073554F">
            <w:rPr>
              <w:rFonts w:ascii="Tahoma" w:hAnsi="Tahoma" w:cs="Tahoma"/>
              <w:color w:val="999999"/>
              <w:sz w:val="16"/>
              <w:szCs w:val="16"/>
            </w:rPr>
            <w:t>Via G.</w:t>
          </w:r>
          <w:r w:rsidR="00212A80">
            <w:rPr>
              <w:rFonts w:ascii="Tahoma" w:hAnsi="Tahoma" w:cs="Tahoma"/>
              <w:color w:val="999999"/>
              <w:sz w:val="16"/>
              <w:szCs w:val="16"/>
            </w:rPr>
            <w:t xml:space="preserve"> </w:t>
          </w:r>
          <w:r w:rsidRPr="0073554F">
            <w:rPr>
              <w:rFonts w:ascii="Tahoma" w:hAnsi="Tahoma" w:cs="Tahoma"/>
              <w:color w:val="999999"/>
              <w:sz w:val="16"/>
              <w:szCs w:val="16"/>
            </w:rPr>
            <w:t>Porzio, Isola E3</w:t>
          </w:r>
        </w:p>
        <w:p w14:paraId="757AFFFC" w14:textId="77777777" w:rsidR="00F00652" w:rsidRPr="0073554F" w:rsidRDefault="00F00652" w:rsidP="002830AC">
          <w:pPr>
            <w:pStyle w:val="Pidipagina"/>
            <w:tabs>
              <w:tab w:val="clear" w:pos="9638"/>
              <w:tab w:val="right" w:pos="10065"/>
            </w:tabs>
            <w:rPr>
              <w:rFonts w:ascii="Tahoma" w:hAnsi="Tahoma" w:cs="Tahoma"/>
              <w:color w:val="999999"/>
              <w:sz w:val="16"/>
              <w:szCs w:val="16"/>
            </w:rPr>
          </w:pPr>
          <w:r w:rsidRPr="0073554F">
            <w:rPr>
              <w:rFonts w:ascii="Tahoma" w:hAnsi="Tahoma" w:cs="Tahoma"/>
              <w:color w:val="999999"/>
              <w:sz w:val="16"/>
              <w:szCs w:val="16"/>
            </w:rPr>
            <w:t>80143</w:t>
          </w:r>
        </w:p>
        <w:p w14:paraId="0ABB610F" w14:textId="77777777" w:rsidR="00F00652" w:rsidRPr="0073554F" w:rsidRDefault="00F00652" w:rsidP="002830AC">
          <w:pPr>
            <w:pStyle w:val="Pidipagina"/>
            <w:tabs>
              <w:tab w:val="clear" w:pos="9638"/>
              <w:tab w:val="right" w:pos="10065"/>
            </w:tabs>
            <w:rPr>
              <w:rFonts w:ascii="Tahoma" w:hAnsi="Tahoma" w:cs="Tahoma"/>
              <w:color w:val="999999"/>
              <w:sz w:val="20"/>
              <w:szCs w:val="20"/>
            </w:rPr>
          </w:pPr>
          <w:r w:rsidRPr="0073554F">
            <w:rPr>
              <w:rFonts w:ascii="Tahoma" w:hAnsi="Tahoma" w:cs="Tahoma"/>
              <w:color w:val="999999"/>
              <w:sz w:val="16"/>
              <w:szCs w:val="16"/>
            </w:rPr>
            <w:t>Napoli</w:t>
          </w:r>
        </w:p>
      </w:tc>
      <w:tc>
        <w:tcPr>
          <w:tcW w:w="2429" w:type="dxa"/>
          <w:tcBorders>
            <w:left w:val="single" w:sz="4" w:space="0" w:color="auto"/>
          </w:tcBorders>
        </w:tcPr>
        <w:p w14:paraId="51872F53" w14:textId="77777777" w:rsidR="00F00652" w:rsidRPr="0073554F" w:rsidRDefault="00F00652" w:rsidP="002830AC">
          <w:pPr>
            <w:pStyle w:val="Pidipagina"/>
            <w:tabs>
              <w:tab w:val="clear" w:pos="9638"/>
              <w:tab w:val="right" w:pos="10065"/>
            </w:tabs>
            <w:ind w:right="22"/>
            <w:rPr>
              <w:rFonts w:ascii="Tahoma" w:hAnsi="Tahoma" w:cs="Tahoma"/>
              <w:color w:val="999999"/>
              <w:sz w:val="16"/>
              <w:szCs w:val="16"/>
              <w:lang w:val="en-US"/>
            </w:rPr>
          </w:pPr>
          <w:r w:rsidRPr="0073554F">
            <w:rPr>
              <w:rFonts w:ascii="Tahoma" w:hAnsi="Tahoma" w:cs="Tahoma"/>
              <w:color w:val="999999"/>
              <w:sz w:val="16"/>
              <w:szCs w:val="16"/>
              <w:lang w:val="en-US"/>
            </w:rPr>
            <w:t>Tel: 081.19811450</w:t>
          </w:r>
        </w:p>
        <w:p w14:paraId="4A2F69CE" w14:textId="77777777" w:rsidR="00F00652" w:rsidRPr="0073554F" w:rsidRDefault="00F00652" w:rsidP="002830AC">
          <w:pPr>
            <w:pStyle w:val="Pidipagina"/>
            <w:tabs>
              <w:tab w:val="clear" w:pos="9638"/>
              <w:tab w:val="right" w:pos="10065"/>
            </w:tabs>
            <w:ind w:right="22"/>
            <w:rPr>
              <w:rFonts w:ascii="Tahoma" w:hAnsi="Tahoma" w:cs="Tahoma"/>
              <w:color w:val="999999"/>
              <w:sz w:val="16"/>
              <w:szCs w:val="16"/>
              <w:lang w:val="en-US"/>
            </w:rPr>
          </w:pPr>
          <w:r w:rsidRPr="0073554F">
            <w:rPr>
              <w:rFonts w:ascii="Tahoma" w:hAnsi="Tahoma" w:cs="Tahoma"/>
              <w:color w:val="999999"/>
              <w:sz w:val="16"/>
              <w:szCs w:val="16"/>
              <w:lang w:val="en-US"/>
            </w:rPr>
            <w:t>Fax: 081.19811451</w:t>
          </w:r>
        </w:p>
        <w:p w14:paraId="17FAD7D5" w14:textId="77777777" w:rsidR="00F00652" w:rsidRPr="0073554F" w:rsidRDefault="00F00652" w:rsidP="002830AC">
          <w:pPr>
            <w:pStyle w:val="Pidipagina"/>
            <w:tabs>
              <w:tab w:val="clear" w:pos="9638"/>
              <w:tab w:val="right" w:pos="10065"/>
            </w:tabs>
            <w:ind w:right="-567"/>
            <w:rPr>
              <w:rFonts w:ascii="Tahoma" w:hAnsi="Tahoma" w:cs="Tahoma"/>
              <w:color w:val="999999"/>
              <w:sz w:val="16"/>
              <w:szCs w:val="16"/>
              <w:lang w:val="en-US"/>
            </w:rPr>
          </w:pPr>
          <w:r w:rsidRPr="0073554F">
            <w:rPr>
              <w:rFonts w:ascii="Tahoma" w:hAnsi="Tahoma" w:cs="Tahoma"/>
              <w:color w:val="999999"/>
              <w:sz w:val="16"/>
              <w:szCs w:val="16"/>
              <w:lang w:val="en-US"/>
            </w:rPr>
            <w:t xml:space="preserve">email: </w:t>
          </w:r>
          <w:hyperlink r:id="rId1" w:history="1">
            <w:r w:rsidRPr="0073554F">
              <w:rPr>
                <w:rFonts w:ascii="Tahoma" w:hAnsi="Tahoma" w:cs="Tahoma"/>
                <w:color w:val="999999"/>
                <w:sz w:val="16"/>
                <w:szCs w:val="16"/>
                <w:lang w:val="en-US"/>
              </w:rPr>
              <w:t>info@amesci.org</w:t>
            </w:r>
          </w:hyperlink>
        </w:p>
        <w:p w14:paraId="0D36D19C" w14:textId="77777777" w:rsidR="00F00652" w:rsidRPr="00DE23E7" w:rsidRDefault="00F00652" w:rsidP="002830AC">
          <w:pPr>
            <w:pStyle w:val="Pidipagina"/>
            <w:tabs>
              <w:tab w:val="clear" w:pos="9638"/>
              <w:tab w:val="right" w:pos="10065"/>
            </w:tabs>
            <w:ind w:right="-567"/>
            <w:rPr>
              <w:rFonts w:ascii="Tahoma" w:hAnsi="Tahoma" w:cs="Tahoma"/>
              <w:color w:val="999999"/>
              <w:sz w:val="16"/>
              <w:szCs w:val="16"/>
              <w:lang w:val="fr-FR"/>
            </w:rPr>
          </w:pPr>
          <w:hyperlink r:id="rId2" w:history="1">
            <w:r w:rsidRPr="00DE23E7">
              <w:rPr>
                <w:rFonts w:ascii="Tahoma" w:hAnsi="Tahoma" w:cs="Tahoma"/>
                <w:color w:val="999999"/>
                <w:sz w:val="16"/>
                <w:szCs w:val="16"/>
                <w:lang w:val="fr-FR"/>
              </w:rPr>
              <w:t>www.amesci.org</w:t>
            </w:r>
          </w:hyperlink>
        </w:p>
      </w:tc>
    </w:tr>
  </w:tbl>
  <w:p w14:paraId="1B99482A" w14:textId="77777777" w:rsidR="00F00652" w:rsidRPr="00DE23E7" w:rsidRDefault="00F00652">
    <w:pPr>
      <w:pStyle w:val="Pidipa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50EC" w14:textId="77777777" w:rsidR="00E7239B" w:rsidRDefault="00E7239B" w:rsidP="00A162A5">
      <w:pPr>
        <w:spacing w:after="0" w:line="240" w:lineRule="auto"/>
      </w:pPr>
      <w:r>
        <w:separator/>
      </w:r>
    </w:p>
  </w:footnote>
  <w:footnote w:type="continuationSeparator" w:id="0">
    <w:p w14:paraId="70EB0687" w14:textId="77777777" w:rsidR="00E7239B" w:rsidRDefault="00E7239B" w:rsidP="00A1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9B4D" w14:textId="1A971B30" w:rsidR="00A162A5" w:rsidRDefault="00F50894" w:rsidP="00A162A5">
    <w:pPr>
      <w:pStyle w:val="Intestazione"/>
      <w:jc w:val="right"/>
    </w:pPr>
    <w:r w:rsidRPr="00F50894">
      <w:rPr>
        <w:noProof/>
      </w:rPr>
      <w:drawing>
        <wp:anchor distT="0" distB="0" distL="114300" distR="114300" simplePos="0" relativeHeight="251658240" behindDoc="0" locked="0" layoutInCell="1" allowOverlap="1" wp14:anchorId="31FAC84B" wp14:editId="58929745">
          <wp:simplePos x="0" y="0"/>
          <wp:positionH relativeFrom="column">
            <wp:posOffset>4899660</wp:posOffset>
          </wp:positionH>
          <wp:positionV relativeFrom="paragraph">
            <wp:posOffset>-192405</wp:posOffset>
          </wp:positionV>
          <wp:extent cx="1224280" cy="621921"/>
          <wp:effectExtent l="0" t="0" r="0" b="0"/>
          <wp:wrapNone/>
          <wp:docPr id="10028516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8516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280" cy="621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888C98" w14:textId="0112847E" w:rsidR="00A162A5" w:rsidRDefault="00A162A5" w:rsidP="00A162A5">
    <w:pPr>
      <w:pStyle w:val="Intestazione"/>
      <w:jc w:val="right"/>
    </w:pPr>
  </w:p>
  <w:p w14:paraId="5097299C" w14:textId="77777777" w:rsidR="0082773A" w:rsidRDefault="0082773A" w:rsidP="00A162A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5D42"/>
    <w:multiLevelType w:val="multilevel"/>
    <w:tmpl w:val="E328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044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A5"/>
    <w:rsid w:val="000003AA"/>
    <w:rsid w:val="000D3DFE"/>
    <w:rsid w:val="001562C5"/>
    <w:rsid w:val="00185DA8"/>
    <w:rsid w:val="001F4CDE"/>
    <w:rsid w:val="00212A80"/>
    <w:rsid w:val="00212DD2"/>
    <w:rsid w:val="002D23F9"/>
    <w:rsid w:val="00390EC3"/>
    <w:rsid w:val="003A189F"/>
    <w:rsid w:val="00433C22"/>
    <w:rsid w:val="00484BAD"/>
    <w:rsid w:val="00512A87"/>
    <w:rsid w:val="00582226"/>
    <w:rsid w:val="00654ADB"/>
    <w:rsid w:val="006E1AD9"/>
    <w:rsid w:val="007B05BB"/>
    <w:rsid w:val="007F0ABA"/>
    <w:rsid w:val="0082773A"/>
    <w:rsid w:val="008F3158"/>
    <w:rsid w:val="0090323F"/>
    <w:rsid w:val="0092258B"/>
    <w:rsid w:val="00955AD8"/>
    <w:rsid w:val="009873F0"/>
    <w:rsid w:val="009D63DF"/>
    <w:rsid w:val="00A162A5"/>
    <w:rsid w:val="00A23638"/>
    <w:rsid w:val="00A65E29"/>
    <w:rsid w:val="00A771BC"/>
    <w:rsid w:val="00AC6D9C"/>
    <w:rsid w:val="00B60C9F"/>
    <w:rsid w:val="00B63BDF"/>
    <w:rsid w:val="00B7763D"/>
    <w:rsid w:val="00BF104A"/>
    <w:rsid w:val="00C4133E"/>
    <w:rsid w:val="00DE23E7"/>
    <w:rsid w:val="00DF3863"/>
    <w:rsid w:val="00E7239B"/>
    <w:rsid w:val="00F00652"/>
    <w:rsid w:val="00F50894"/>
    <w:rsid w:val="00F61CD3"/>
    <w:rsid w:val="00F6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5277C"/>
  <w15:docId w15:val="{37A2BFB2-641A-0546-AE35-79FE5FD5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A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62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62A5"/>
  </w:style>
  <w:style w:type="paragraph" w:styleId="Pidipagina">
    <w:name w:val="footer"/>
    <w:basedOn w:val="Normale"/>
    <w:link w:val="PidipaginaCarattere"/>
    <w:unhideWhenUsed/>
    <w:rsid w:val="00A162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162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2A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E23E7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E23E7"/>
    <w:rPr>
      <w:color w:val="800080"/>
      <w:u w:val="single"/>
    </w:rPr>
  </w:style>
  <w:style w:type="paragraph" w:customStyle="1" w:styleId="msonormal0">
    <w:name w:val="msonormal"/>
    <w:basedOn w:val="Normale"/>
    <w:rsid w:val="00DE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57">
    <w:name w:val="xl357"/>
    <w:basedOn w:val="Normale"/>
    <w:rsid w:val="00DE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358">
    <w:name w:val="xl358"/>
    <w:basedOn w:val="Normale"/>
    <w:rsid w:val="00DE23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59">
    <w:name w:val="xl359"/>
    <w:basedOn w:val="Normale"/>
    <w:rsid w:val="00DE23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60">
    <w:name w:val="xl360"/>
    <w:basedOn w:val="Normale"/>
    <w:rsid w:val="00DE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61">
    <w:name w:val="xl361"/>
    <w:basedOn w:val="Normale"/>
    <w:rsid w:val="00DE23E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62">
    <w:name w:val="xl362"/>
    <w:basedOn w:val="Normale"/>
    <w:rsid w:val="00DE23E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63">
    <w:name w:val="xl363"/>
    <w:basedOn w:val="Normale"/>
    <w:rsid w:val="00DE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64">
    <w:name w:val="xl364"/>
    <w:basedOn w:val="Normale"/>
    <w:rsid w:val="00DE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it-IT"/>
    </w:rPr>
  </w:style>
  <w:style w:type="paragraph" w:customStyle="1" w:styleId="xl365">
    <w:name w:val="xl365"/>
    <w:basedOn w:val="Normale"/>
    <w:rsid w:val="00DE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66">
    <w:name w:val="xl366"/>
    <w:basedOn w:val="Normale"/>
    <w:rsid w:val="00DE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67">
    <w:name w:val="xl367"/>
    <w:basedOn w:val="Normale"/>
    <w:rsid w:val="00DE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68">
    <w:name w:val="xl368"/>
    <w:basedOn w:val="Normale"/>
    <w:rsid w:val="00DE23E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69">
    <w:name w:val="xl369"/>
    <w:basedOn w:val="Normale"/>
    <w:rsid w:val="00DE2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70">
    <w:name w:val="xl370"/>
    <w:basedOn w:val="Normale"/>
    <w:rsid w:val="00DE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371">
    <w:name w:val="xl371"/>
    <w:basedOn w:val="Normale"/>
    <w:rsid w:val="00DE23E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72">
    <w:name w:val="xl372"/>
    <w:basedOn w:val="Normale"/>
    <w:rsid w:val="00DE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373">
    <w:name w:val="xl373"/>
    <w:basedOn w:val="Normale"/>
    <w:rsid w:val="00DE2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74">
    <w:name w:val="xl374"/>
    <w:basedOn w:val="Normale"/>
    <w:rsid w:val="00DE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375">
    <w:name w:val="xl375"/>
    <w:basedOn w:val="Normale"/>
    <w:rsid w:val="00DE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376">
    <w:name w:val="xl376"/>
    <w:basedOn w:val="Normale"/>
    <w:rsid w:val="00DE2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77">
    <w:name w:val="xl377"/>
    <w:basedOn w:val="Normale"/>
    <w:rsid w:val="00DE2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78">
    <w:name w:val="xl378"/>
    <w:basedOn w:val="Normale"/>
    <w:rsid w:val="00DE2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79">
    <w:name w:val="xl379"/>
    <w:basedOn w:val="Normale"/>
    <w:rsid w:val="00DE2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80">
    <w:name w:val="xl380"/>
    <w:basedOn w:val="Normale"/>
    <w:rsid w:val="00DE2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81">
    <w:name w:val="xl381"/>
    <w:basedOn w:val="Normale"/>
    <w:rsid w:val="00DE2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82">
    <w:name w:val="xl382"/>
    <w:basedOn w:val="Normale"/>
    <w:rsid w:val="00DE23E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83">
    <w:name w:val="xl383"/>
    <w:basedOn w:val="Normale"/>
    <w:rsid w:val="00DE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84">
    <w:name w:val="xl384"/>
    <w:basedOn w:val="Normale"/>
    <w:rsid w:val="00DE2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385">
    <w:name w:val="xl385"/>
    <w:basedOn w:val="Normale"/>
    <w:rsid w:val="00DE2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amesci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ziocivile.amesci.org/documentazione/bando2026/Analisi_Bando_Ordinario_SCU_2026_AMESCI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esci.org" TargetMode="External"/><Relationship Id="rId1" Type="http://schemas.openxmlformats.org/officeDocument/2006/relationships/hyperlink" Target="mailto:info@amesc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Di Maro</dc:creator>
  <cp:lastModifiedBy>Enrico Maria Borrelli</cp:lastModifiedBy>
  <cp:revision>3</cp:revision>
  <cp:lastPrinted>2021-10-15T09:42:00Z</cp:lastPrinted>
  <dcterms:created xsi:type="dcterms:W3CDTF">2026-04-22T08:45:00Z</dcterms:created>
  <dcterms:modified xsi:type="dcterms:W3CDTF">2026-04-22T09:14:00Z</dcterms:modified>
</cp:coreProperties>
</file>